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7E2D2" w14:textId="471F1A5D" w:rsidR="008F3D81" w:rsidRPr="0015181A" w:rsidRDefault="008F3D81" w:rsidP="008F3D8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Pr="0015181A">
        <w:rPr>
          <w:rFonts w:ascii="Arial" w:hAnsi="Arial" w:cs="Arial"/>
          <w:b/>
          <w:bCs/>
          <w:sz w:val="24"/>
        </w:rPr>
        <w:t>TSG RAN WG1 #</w:t>
      </w:r>
      <w:r w:rsidR="002A43E4" w:rsidRPr="0015181A">
        <w:rPr>
          <w:rFonts w:ascii="Arial" w:hAnsi="Arial" w:cs="Arial"/>
          <w:b/>
          <w:bCs/>
          <w:sz w:val="24"/>
        </w:rPr>
        <w:t>9</w:t>
      </w:r>
      <w:r w:rsidR="002A43E4">
        <w:rPr>
          <w:rFonts w:ascii="Arial" w:hAnsi="Arial" w:cs="Arial"/>
          <w:b/>
          <w:bCs/>
          <w:sz w:val="24"/>
        </w:rPr>
        <w:t xml:space="preserve">8               </w:t>
      </w:r>
      <w:r w:rsidRPr="0015181A">
        <w:rPr>
          <w:rFonts w:ascii="Arial" w:hAnsi="Arial" w:cs="Arial"/>
          <w:b/>
          <w:bCs/>
          <w:sz w:val="24"/>
        </w:rPr>
        <w:tab/>
      </w:r>
      <w:r w:rsidR="00494C82" w:rsidRPr="00494C82">
        <w:rPr>
          <w:rFonts w:ascii="Arial" w:hAnsi="Arial" w:cs="Arial"/>
          <w:b/>
          <w:bCs/>
          <w:sz w:val="24"/>
        </w:rPr>
        <w:t>R1-1908951</w:t>
      </w:r>
    </w:p>
    <w:p w14:paraId="64754B15" w14:textId="6B09167F" w:rsidR="00384C64" w:rsidRPr="00384C64" w:rsidRDefault="009954CE" w:rsidP="00384C6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2A43E4">
        <w:rPr>
          <w:rFonts w:ascii="Arial" w:hAnsi="Arial" w:cs="Arial"/>
          <w:b/>
          <w:bCs/>
          <w:sz w:val="24"/>
        </w:rPr>
        <w:t>Prague, CZ, August 26th – 30th, 2019</w:t>
      </w:r>
    </w:p>
    <w:p w14:paraId="02CE58B2" w14:textId="77777777" w:rsidR="008F3D81" w:rsidRPr="00384C64" w:rsidRDefault="008F3D81" w:rsidP="008F3D81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12D6600" w14:textId="77777777" w:rsidR="008F3D81" w:rsidRPr="00BE6603" w:rsidRDefault="00384C64" w:rsidP="008F3D81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7.2.4.</w:t>
      </w:r>
      <w:r w:rsidRPr="00384C64">
        <w:rPr>
          <w:rFonts w:ascii="Arial" w:eastAsia="Batang" w:hAnsi="Arial" w:cs="Arial" w:hint="eastAsia"/>
          <w:b/>
          <w:bCs/>
          <w:lang w:val="en-GB"/>
        </w:rPr>
        <w:t>6</w:t>
      </w:r>
    </w:p>
    <w:p w14:paraId="05AEF6D5" w14:textId="77777777" w:rsidR="008F3D81" w:rsidRPr="00BE6603" w:rsidRDefault="008F3D81" w:rsidP="008F3D81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  <w:bookmarkStart w:id="0" w:name="_GoBack"/>
      <w:bookmarkEnd w:id="0"/>
    </w:p>
    <w:p w14:paraId="243FF1EB" w14:textId="77777777" w:rsidR="008F3D81" w:rsidRPr="00BE6603" w:rsidRDefault="008F3D81" w:rsidP="008F3D81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>Consideration</w:t>
      </w:r>
      <w:r w:rsidRPr="006A3BC1">
        <w:rPr>
          <w:rFonts w:ascii="Arial" w:eastAsia="Batang" w:hAnsi="Arial" w:cs="Arial" w:hint="eastAsia"/>
          <w:b/>
          <w:bCs/>
          <w:lang w:val="en-GB"/>
        </w:rPr>
        <w:t>s</w:t>
      </w:r>
      <w:r>
        <w:rPr>
          <w:rFonts w:ascii="Arial" w:eastAsia="Batang" w:hAnsi="Arial" w:cs="Arial"/>
          <w:b/>
          <w:bCs/>
          <w:lang w:val="en-GB"/>
        </w:rPr>
        <w:t xml:space="preserve"> on sidelink </w:t>
      </w:r>
      <w:r w:rsidR="00A56FED">
        <w:rPr>
          <w:rFonts w:ascii="Arial" w:eastAsia="Batang" w:hAnsi="Arial" w:cs="Arial"/>
          <w:b/>
          <w:bCs/>
          <w:lang w:val="en-GB"/>
        </w:rPr>
        <w:t>congestion control</w:t>
      </w:r>
    </w:p>
    <w:p w14:paraId="4430821D" w14:textId="77777777" w:rsidR="008F3D81" w:rsidRPr="00BE6603" w:rsidRDefault="008F3D81" w:rsidP="008F3D81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3FC5FCA" w14:textId="77777777" w:rsidR="008F3D81" w:rsidRPr="00AF261F" w:rsidRDefault="008F3D81" w:rsidP="008F3D8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3F38646" w14:textId="77777777" w:rsidR="008F3D81" w:rsidRDefault="008F3D81" w:rsidP="008F3D81">
      <w:pPr>
        <w:pStyle w:val="1"/>
      </w:pPr>
      <w:bookmarkStart w:id="1" w:name="_Ref124589705"/>
      <w:bookmarkStart w:id="2" w:name="_Ref129681862"/>
      <w:r w:rsidRPr="00AF261F">
        <w:t>Introduction</w:t>
      </w:r>
      <w:bookmarkEnd w:id="1"/>
      <w:bookmarkEnd w:id="2"/>
    </w:p>
    <w:p w14:paraId="65A0BCEC" w14:textId="59C09AEA" w:rsidR="00A8549F" w:rsidRDefault="00A8549F" w:rsidP="008F3D81">
      <w:pPr>
        <w:rPr>
          <w:lang w:eastAsia="zh-CN"/>
        </w:rPr>
      </w:pPr>
      <w:r>
        <w:rPr>
          <w:lang w:eastAsia="zh-CN"/>
        </w:rPr>
        <w:t xml:space="preserve">This contribution is a revision of </w:t>
      </w:r>
      <w:hyperlink r:id="rId7" w:history="1">
        <w:r w:rsidRPr="00A8549F">
          <w:rPr>
            <w:lang w:eastAsia="zh-CN"/>
          </w:rPr>
          <w:t>R1-1906365</w:t>
        </w:r>
      </w:hyperlink>
      <w:r>
        <w:rPr>
          <w:lang w:eastAsia="zh-CN"/>
        </w:rPr>
        <w:t>.</w:t>
      </w:r>
    </w:p>
    <w:p w14:paraId="4073069E" w14:textId="5BB39D56" w:rsidR="008F3D81" w:rsidRDefault="008F3D81" w:rsidP="008F3D81">
      <w:pPr>
        <w:rPr>
          <w:lang w:eastAsia="zh-CN"/>
        </w:rPr>
      </w:pPr>
      <w:r w:rsidRPr="00FB3A55">
        <w:rPr>
          <w:lang w:eastAsia="zh-CN"/>
        </w:rPr>
        <w:t xml:space="preserve">This </w:t>
      </w:r>
      <w:r>
        <w:rPr>
          <w:rFonts w:hint="eastAsia"/>
          <w:lang w:eastAsia="zh-CN"/>
        </w:rPr>
        <w:t>fo</w:t>
      </w:r>
      <w:r>
        <w:rPr>
          <w:lang w:eastAsia="zh-CN"/>
        </w:rPr>
        <w:t>llo</w:t>
      </w:r>
      <w:r w:rsidR="00224450">
        <w:rPr>
          <w:lang w:eastAsia="zh-CN"/>
        </w:rPr>
        <w:t>wing agreement</w:t>
      </w:r>
      <w:r w:rsidR="00A8549F">
        <w:rPr>
          <w:lang w:eastAsia="zh-CN"/>
        </w:rPr>
        <w:t xml:space="preserve">s have been </w:t>
      </w:r>
      <w:r w:rsidR="00224450">
        <w:rPr>
          <w:lang w:eastAsia="zh-CN"/>
        </w:rPr>
        <w:t>made in RAN1</w:t>
      </w:r>
      <w:r w:rsidR="00224450">
        <w:rPr>
          <w:rFonts w:hint="eastAsia"/>
          <w:lang w:eastAsia="zh-CN"/>
        </w:rPr>
        <w:t>#</w:t>
      </w:r>
      <w:r w:rsidR="009954CE">
        <w:rPr>
          <w:rFonts w:hint="eastAsia"/>
          <w:lang w:eastAsia="zh-CN"/>
        </w:rPr>
        <w:t>9</w:t>
      </w:r>
      <w:r w:rsidR="009954CE">
        <w:rPr>
          <w:lang w:eastAsia="zh-CN"/>
        </w:rPr>
        <w:t>7</w:t>
      </w:r>
      <w:r>
        <w:rPr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F3D81" w14:paraId="6958752D" w14:textId="77777777" w:rsidTr="00223291">
        <w:tc>
          <w:tcPr>
            <w:tcW w:w="8296" w:type="dxa"/>
          </w:tcPr>
          <w:p w14:paraId="3D650DAC" w14:textId="77777777" w:rsidR="009954CE" w:rsidRDefault="009954CE" w:rsidP="009954CE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</w:t>
            </w:r>
            <w:r>
              <w:rPr>
                <w:szCs w:val="20"/>
              </w:rPr>
              <w:t>:</w:t>
            </w:r>
          </w:p>
          <w:p w14:paraId="34CEE277" w14:textId="7D9F4C16" w:rsidR="009954CE" w:rsidRDefault="009954CE" w:rsidP="00AC518B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C97CAA">
              <w:rPr>
                <w:szCs w:val="20"/>
                <w:lang w:eastAsia="zh-CN"/>
              </w:rPr>
              <w:t>LTE V2X sidelink congestion control is the starting point for defining NR sidelink congestion control.</w:t>
            </w:r>
          </w:p>
          <w:p w14:paraId="7FD2BBE1" w14:textId="77777777" w:rsidR="009954CE" w:rsidRDefault="009954CE" w:rsidP="009954CE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</w:t>
            </w:r>
            <w:r>
              <w:rPr>
                <w:szCs w:val="20"/>
              </w:rPr>
              <w:t>:</w:t>
            </w:r>
          </w:p>
          <w:p w14:paraId="189A0FAF" w14:textId="0A498960" w:rsidR="008F3D81" w:rsidRPr="002A43E4" w:rsidRDefault="009954CE" w:rsidP="008F6CCD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Higher-layer reporting of CBR to the gNB is supported for RRC_CONNECTED UEs.</w:t>
            </w:r>
          </w:p>
        </w:tc>
      </w:tr>
    </w:tbl>
    <w:p w14:paraId="01943FEE" w14:textId="77777777" w:rsidR="008F3D81" w:rsidRPr="004100BE" w:rsidRDefault="00AD00AE" w:rsidP="008F3D81">
      <w:pPr>
        <w:pStyle w:val="1"/>
        <w:keepLines/>
        <w:tabs>
          <w:tab w:val="num" w:pos="432"/>
        </w:tabs>
        <w:autoSpaceDE/>
        <w:autoSpaceDN/>
        <w:adjustRightInd/>
        <w:snapToGrid/>
        <w:spacing w:before="240" w:after="60"/>
      </w:pPr>
      <w:r>
        <w:t>Discussion for congestion control metric</w:t>
      </w:r>
      <w:r w:rsidR="008F3D81" w:rsidRPr="004100BE">
        <w:t xml:space="preserve"> </w:t>
      </w:r>
    </w:p>
    <w:p w14:paraId="2F653540" w14:textId="0E432B46" w:rsidR="00064546" w:rsidRDefault="0039097D" w:rsidP="00064546">
      <w:pPr>
        <w:pStyle w:val="LGTdoc"/>
        <w:spacing w:before="120" w:afterLines="0" w:line="240" w:lineRule="auto"/>
        <w:rPr>
          <w:lang w:eastAsia="zh-CN"/>
        </w:rPr>
      </w:pPr>
      <w:r>
        <w:rPr>
          <w:rFonts w:hint="eastAsia"/>
        </w:rPr>
        <w:t xml:space="preserve">CBR and CR are jointly </w:t>
      </w:r>
      <w:r>
        <w:t>utilized</w:t>
      </w:r>
      <w:r>
        <w:rPr>
          <w:rFonts w:hint="eastAsia"/>
        </w:rPr>
        <w:t xml:space="preserve"> </w:t>
      </w:r>
      <w:r>
        <w:t xml:space="preserve">for congestion control in LTE-V2X. Generally, CBR is more like a measurement of </w:t>
      </w:r>
      <w:r w:rsidR="005F2728">
        <w:t>system loading</w:t>
      </w:r>
      <w:r>
        <w:t xml:space="preserve">, while CR is a UE-specific </w:t>
      </w:r>
      <w:hyperlink r:id="rId8" w:history="1">
        <w:r w:rsidRPr="00BD0315">
          <w:t>statistical</w:t>
        </w:r>
      </w:hyperlink>
      <w:r w:rsidRPr="00BD0315">
        <w:t> </w:t>
      </w:r>
      <w:hyperlink r:id="rId9" w:history="1">
        <w:r w:rsidRPr="00BD0315">
          <w:t>data</w:t>
        </w:r>
      </w:hyperlink>
      <w:r>
        <w:t xml:space="preserve"> counting its own channel occupancy in a past time interval.</w:t>
      </w:r>
      <w:r w:rsidR="00E90645">
        <w:rPr>
          <w:rFonts w:eastAsiaTheme="minorEastAsia" w:hint="eastAsia"/>
          <w:lang w:eastAsia="zh-CN"/>
        </w:rPr>
        <w:t xml:space="preserve"> </w:t>
      </w:r>
      <w:r>
        <w:t>Moreover, the CBR measurement result can also be helpful in Tx-carrier/resource-pool selection procedure.</w:t>
      </w:r>
      <w:r w:rsidR="00064546">
        <w:t xml:space="preserve"> </w:t>
      </w:r>
      <w:r w:rsidR="00064546">
        <w:rPr>
          <w:rFonts w:hint="eastAsia"/>
          <w:lang w:eastAsia="zh-CN"/>
        </w:rPr>
        <w:t>I</w:t>
      </w:r>
      <w:r w:rsidR="00064546">
        <w:rPr>
          <w:lang w:eastAsia="zh-CN"/>
        </w:rPr>
        <w:t xml:space="preserve">n LTE V2X, the CBR measurement interval is fixed to be 100ms and the CR measurement is 1000ms. Specifically, at subframe n, the CBR measurement will count from subframe n-100 to subframe n-1 and CR measurement shall count the two intervals </w:t>
      </w:r>
      <w:r w:rsidR="00064546">
        <w:rPr>
          <w:rFonts w:hint="eastAsia"/>
          <w:lang w:eastAsia="zh-CN"/>
        </w:rPr>
        <w:t>[</w:t>
      </w:r>
      <w:r w:rsidR="00064546">
        <w:rPr>
          <w:lang w:eastAsia="zh-CN"/>
        </w:rPr>
        <w:t>n-a, n-1</w:t>
      </w:r>
      <w:r w:rsidR="00064546">
        <w:rPr>
          <w:rFonts w:hint="eastAsia"/>
          <w:lang w:eastAsia="zh-CN"/>
        </w:rPr>
        <w:t>]</w:t>
      </w:r>
      <w:r w:rsidR="00064546">
        <w:rPr>
          <w:lang w:eastAsia="zh-CN"/>
        </w:rPr>
        <w:t xml:space="preserve"> and </w:t>
      </w:r>
      <w:r w:rsidR="00064546">
        <w:rPr>
          <w:rFonts w:hint="eastAsia"/>
          <w:lang w:eastAsia="zh-CN"/>
        </w:rPr>
        <w:t>[</w:t>
      </w:r>
      <w:r w:rsidR="00064546">
        <w:rPr>
          <w:lang w:eastAsia="zh-CN"/>
        </w:rPr>
        <w:t>n, n+b</w:t>
      </w:r>
      <w:r w:rsidR="00064546">
        <w:rPr>
          <w:rFonts w:hint="eastAsia"/>
          <w:lang w:eastAsia="zh-CN"/>
        </w:rPr>
        <w:t>]</w:t>
      </w:r>
      <w:r w:rsidR="00064546">
        <w:rPr>
          <w:lang w:eastAsia="zh-CN"/>
        </w:rPr>
        <w:t xml:space="preserve">. </w:t>
      </w:r>
      <w:r w:rsidR="006D4FC8">
        <w:rPr>
          <w:lang w:eastAsia="zh-CN"/>
        </w:rPr>
        <w:t>However, for</w:t>
      </w:r>
      <w:r w:rsidR="00064546">
        <w:rPr>
          <w:lang w:eastAsia="zh-CN"/>
        </w:rPr>
        <w:t xml:space="preserve"> NR</w:t>
      </w:r>
      <w:r w:rsidR="006D4FC8">
        <w:rPr>
          <w:lang w:eastAsia="zh-CN"/>
        </w:rPr>
        <w:t xml:space="preserve"> sidelink</w:t>
      </w:r>
      <w:r w:rsidR="00064546">
        <w:rPr>
          <w:lang w:eastAsia="zh-CN"/>
        </w:rPr>
        <w:t xml:space="preserve"> we encounter a </w:t>
      </w:r>
      <w:r w:rsidR="006D4FC8">
        <w:rPr>
          <w:lang w:eastAsia="zh-CN"/>
        </w:rPr>
        <w:t xml:space="preserve">more complicated scenario where </w:t>
      </w:r>
      <w:r w:rsidR="00064546">
        <w:rPr>
          <w:lang w:eastAsia="zh-CN"/>
        </w:rPr>
        <w:t>both periodic and aperiodic services</w:t>
      </w:r>
      <w:r w:rsidR="006D4FC8">
        <w:rPr>
          <w:lang w:eastAsia="zh-CN"/>
        </w:rPr>
        <w:t xml:space="preserve"> exist</w:t>
      </w:r>
      <w:r w:rsidR="00064546">
        <w:rPr>
          <w:lang w:eastAsia="zh-CN"/>
        </w:rPr>
        <w:t>. Besides, diverse numerologies</w:t>
      </w:r>
      <w:r w:rsidR="006D4FC8">
        <w:rPr>
          <w:lang w:eastAsia="zh-CN"/>
        </w:rPr>
        <w:t xml:space="preserve"> are supported</w:t>
      </w:r>
      <w:r w:rsidR="001D0EA2">
        <w:rPr>
          <w:lang w:eastAsia="zh-CN"/>
        </w:rPr>
        <w:t xml:space="preserve"> for NR sidelink</w:t>
      </w:r>
      <w:r w:rsidR="00064546">
        <w:rPr>
          <w:lang w:eastAsia="zh-CN"/>
        </w:rPr>
        <w:t>, e.g., 30</w:t>
      </w:r>
      <w:r w:rsidR="00064546" w:rsidRPr="004111F2">
        <w:rPr>
          <w:lang w:eastAsia="zh-CN"/>
        </w:rPr>
        <w:t xml:space="preserve"> </w:t>
      </w:r>
      <w:r w:rsidR="00064546">
        <w:rPr>
          <w:lang w:eastAsia="zh-CN"/>
        </w:rPr>
        <w:t>kHz, 60</w:t>
      </w:r>
      <w:r w:rsidR="00064546" w:rsidRPr="004111F2">
        <w:rPr>
          <w:lang w:eastAsia="zh-CN"/>
        </w:rPr>
        <w:t xml:space="preserve"> </w:t>
      </w:r>
      <w:r w:rsidR="00064546">
        <w:rPr>
          <w:lang w:eastAsia="zh-CN"/>
        </w:rPr>
        <w:t>kHz, 120</w:t>
      </w:r>
      <w:r w:rsidR="00064546" w:rsidRPr="004111F2">
        <w:rPr>
          <w:lang w:eastAsia="zh-CN"/>
        </w:rPr>
        <w:t xml:space="preserve"> </w:t>
      </w:r>
      <w:r w:rsidR="00064546">
        <w:rPr>
          <w:lang w:eastAsia="zh-CN"/>
        </w:rPr>
        <w:t>kHz and 240</w:t>
      </w:r>
      <w:r w:rsidR="001D0EA2">
        <w:rPr>
          <w:lang w:eastAsia="zh-CN"/>
        </w:rPr>
        <w:t xml:space="preserve"> </w:t>
      </w:r>
      <w:r w:rsidR="00064546">
        <w:rPr>
          <w:lang w:eastAsia="zh-CN"/>
        </w:rPr>
        <w:t>kHz</w:t>
      </w:r>
      <w:r w:rsidR="00823F16">
        <w:rPr>
          <w:lang w:eastAsia="zh-CN"/>
        </w:rPr>
        <w:t xml:space="preserve">, which may </w:t>
      </w:r>
      <w:r w:rsidR="00F92A7E">
        <w:rPr>
          <w:lang w:eastAsia="zh-CN"/>
        </w:rPr>
        <w:t xml:space="preserve">also </w:t>
      </w:r>
      <w:r w:rsidR="00823F16">
        <w:rPr>
          <w:lang w:eastAsia="zh-CN"/>
        </w:rPr>
        <w:t>have impact on the size of measurement window for CBR/CR.</w:t>
      </w:r>
    </w:p>
    <w:p w14:paraId="58B89D09" w14:textId="77777777" w:rsidR="00AD00AE" w:rsidRDefault="00AD00AE" w:rsidP="00AD00AE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 xml:space="preserve">Proposal </w:t>
      </w:r>
      <w:r>
        <w:rPr>
          <w:rFonts w:cs="Arial"/>
          <w:i/>
        </w:rPr>
        <w:t>1</w:t>
      </w:r>
      <w:r w:rsidRPr="00977B15">
        <w:rPr>
          <w:rFonts w:cs="Arial"/>
          <w:i/>
        </w:rPr>
        <w:t>:</w:t>
      </w:r>
      <w:r w:rsidR="00AE31B5">
        <w:rPr>
          <w:rFonts w:cs="Arial"/>
          <w:i/>
        </w:rPr>
        <w:t xml:space="preserve"> Multiple</w:t>
      </w:r>
      <w:r>
        <w:rPr>
          <w:rFonts w:cs="Arial"/>
          <w:i/>
        </w:rPr>
        <w:t xml:space="preserve"> </w:t>
      </w:r>
      <w:r w:rsidR="000340D4">
        <w:rPr>
          <w:rFonts w:cs="Arial"/>
          <w:i/>
        </w:rPr>
        <w:t xml:space="preserve">sizes of </w:t>
      </w:r>
      <w:r>
        <w:rPr>
          <w:rFonts w:cs="Arial"/>
          <w:i/>
        </w:rPr>
        <w:t xml:space="preserve">measurement window </w:t>
      </w:r>
      <w:r w:rsidR="000340D4">
        <w:rPr>
          <w:rFonts w:cs="Arial"/>
          <w:i/>
        </w:rPr>
        <w:t>for</w:t>
      </w:r>
      <w:r>
        <w:rPr>
          <w:rFonts w:cs="Arial"/>
          <w:i/>
        </w:rPr>
        <w:t xml:space="preserve"> CBR/CR</w:t>
      </w:r>
      <w:r w:rsidR="00AE31B5">
        <w:rPr>
          <w:rFonts w:cs="Arial"/>
          <w:i/>
        </w:rPr>
        <w:t xml:space="preserve"> should be supported</w:t>
      </w:r>
      <w:r w:rsidRPr="00977B15">
        <w:rPr>
          <w:rFonts w:cs="Arial"/>
          <w:i/>
        </w:rPr>
        <w:t>.</w:t>
      </w:r>
    </w:p>
    <w:p w14:paraId="3D6D3DDF" w14:textId="77777777" w:rsidR="0064695D" w:rsidRDefault="00EB6D82" w:rsidP="0064695D">
      <w:pPr>
        <w:rPr>
          <w:lang w:val="en-GB" w:eastAsia="zh-CN"/>
        </w:rPr>
      </w:pPr>
      <w:r>
        <w:rPr>
          <w:rFonts w:hint="eastAsia"/>
          <w:lang w:val="en-GB" w:eastAsia="zh-CN"/>
        </w:rPr>
        <w:t>Currently, in LTE</w:t>
      </w:r>
      <w:r>
        <w:rPr>
          <w:lang w:val="en-GB" w:eastAsia="zh-CN"/>
        </w:rPr>
        <w:t xml:space="preserve"> V2X both </w:t>
      </w:r>
      <w:bookmarkStart w:id="3" w:name="OLE_LINK1"/>
      <w:bookmarkStart w:id="4" w:name="OLE_LINK2"/>
      <w:r>
        <w:rPr>
          <w:lang w:val="en-GB" w:eastAsia="zh-CN"/>
        </w:rPr>
        <w:t>periodic and event-trigger CBR report</w:t>
      </w:r>
      <w:bookmarkEnd w:id="3"/>
      <w:bookmarkEnd w:id="4"/>
      <w:r>
        <w:rPr>
          <w:lang w:val="en-GB" w:eastAsia="zh-CN"/>
        </w:rPr>
        <w:t xml:space="preserve"> are supported. Two event</w:t>
      </w:r>
      <w:r w:rsidR="00D56484">
        <w:rPr>
          <w:lang w:val="en-GB" w:eastAsia="zh-CN"/>
        </w:rPr>
        <w:t>s</w:t>
      </w:r>
      <w:r>
        <w:rPr>
          <w:lang w:val="en-GB" w:eastAsia="zh-CN"/>
        </w:rPr>
        <w:t xml:space="preserve"> are defined </w:t>
      </w:r>
      <w:r w:rsidR="00DC4B0A">
        <w:rPr>
          <w:lang w:val="en-GB" w:eastAsia="zh-CN"/>
        </w:rPr>
        <w:t>as follows:</w:t>
      </w:r>
    </w:p>
    <w:p w14:paraId="22EB5CD8" w14:textId="77777777" w:rsidR="00DC4B0A" w:rsidRDefault="00DC4B0A" w:rsidP="0064695D">
      <w:pPr>
        <w:rPr>
          <w:lang w:val="en-GB" w:eastAsia="zh-CN"/>
        </w:rPr>
      </w:pPr>
      <w:r w:rsidRPr="00DC4B0A">
        <w:rPr>
          <w:rFonts w:hint="eastAsia"/>
          <w:b/>
          <w:i/>
          <w:lang w:val="en-GB" w:eastAsia="zh-CN"/>
        </w:rPr>
        <w:t>Event V1:</w:t>
      </w:r>
      <w:r w:rsidRPr="00DC4B0A">
        <w:rPr>
          <w:i/>
          <w:lang w:val="en-GB" w:eastAsia="zh-CN"/>
        </w:rPr>
        <w:t xml:space="preserve"> The measurement result of CBR of the transmission resource pool is larger than a threshold.</w:t>
      </w:r>
    </w:p>
    <w:p w14:paraId="3A55933A" w14:textId="77777777" w:rsidR="00DC4B0A" w:rsidRDefault="00DC4B0A" w:rsidP="00DC4B0A">
      <w:pPr>
        <w:rPr>
          <w:lang w:val="en-GB" w:eastAsia="zh-CN"/>
        </w:rPr>
      </w:pPr>
      <w:r w:rsidRPr="00DC4B0A">
        <w:rPr>
          <w:b/>
          <w:i/>
          <w:lang w:val="en-GB" w:eastAsia="zh-CN"/>
        </w:rPr>
        <w:t>Event V2:</w:t>
      </w:r>
      <w:r w:rsidRPr="00DC4B0A">
        <w:rPr>
          <w:lang w:val="en-GB" w:eastAsia="zh-CN"/>
        </w:rPr>
        <w:t xml:space="preserve"> </w:t>
      </w:r>
      <w:r w:rsidRPr="00DC4B0A">
        <w:rPr>
          <w:i/>
          <w:lang w:val="en-GB" w:eastAsia="zh-CN"/>
        </w:rPr>
        <w:t>The measurement result of CBR of the transmission resource pool is smaller than a threshold.</w:t>
      </w:r>
    </w:p>
    <w:p w14:paraId="7FFDD9DB" w14:textId="77777777" w:rsidR="00DC4B0A" w:rsidRPr="00DC4B0A" w:rsidRDefault="00CB7939" w:rsidP="0064695D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NR sidelink, </w:t>
      </w:r>
      <w:r>
        <w:rPr>
          <w:lang w:val="en-GB" w:eastAsia="zh-CN"/>
        </w:rPr>
        <w:t>we can continue supporting both periodic and event-trigger CBR report and regard the two event</w:t>
      </w:r>
      <w:r w:rsidR="005F2728">
        <w:rPr>
          <w:lang w:val="en-GB" w:eastAsia="zh-CN"/>
        </w:rPr>
        <w:t>s</w:t>
      </w:r>
      <w:r>
        <w:rPr>
          <w:lang w:val="en-GB" w:eastAsia="zh-CN"/>
        </w:rPr>
        <w:t xml:space="preserve"> as a start point.</w:t>
      </w:r>
    </w:p>
    <w:p w14:paraId="489B92D4" w14:textId="77777777" w:rsidR="00AD00AE" w:rsidRDefault="00AD00AE" w:rsidP="00AD00AE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>Proposal 2:</w:t>
      </w:r>
      <w:r>
        <w:rPr>
          <w:rFonts w:cs="Arial"/>
          <w:i/>
        </w:rPr>
        <w:t xml:space="preserve"> Both periodic an</w:t>
      </w:r>
      <w:r w:rsidR="00AE31B5">
        <w:rPr>
          <w:rFonts w:cs="Arial"/>
          <w:i/>
        </w:rPr>
        <w:t>d event</w:t>
      </w:r>
      <w:r w:rsidR="00D56484">
        <w:rPr>
          <w:rFonts w:cs="Arial"/>
          <w:i/>
        </w:rPr>
        <w:t>s</w:t>
      </w:r>
      <w:r w:rsidR="00AE31B5">
        <w:rPr>
          <w:rFonts w:cs="Arial"/>
          <w:i/>
        </w:rPr>
        <w:t xml:space="preserve"> trigger CBR report should</w:t>
      </w:r>
      <w:r>
        <w:rPr>
          <w:rFonts w:cs="Arial"/>
          <w:i/>
        </w:rPr>
        <w:t xml:space="preserve"> be supported</w:t>
      </w:r>
      <w:r w:rsidRPr="00977B15">
        <w:rPr>
          <w:rFonts w:cs="Arial"/>
          <w:i/>
        </w:rPr>
        <w:t>.</w:t>
      </w:r>
    </w:p>
    <w:p w14:paraId="135CBAFE" w14:textId="5336DFC6" w:rsidR="0064695D" w:rsidRPr="00395BB9" w:rsidRDefault="004F67AF" w:rsidP="0064695D">
      <w:pPr>
        <w:rPr>
          <w:lang w:val="en-GB" w:eastAsia="zh-CN"/>
        </w:rPr>
      </w:pPr>
      <w:r w:rsidRPr="00395BB9">
        <w:rPr>
          <w:lang w:val="en-GB" w:eastAsia="zh-CN"/>
        </w:rPr>
        <w:t>PSFCH is newly introduced i</w:t>
      </w:r>
      <w:r w:rsidR="00900B96">
        <w:rPr>
          <w:lang w:val="en-GB" w:eastAsia="zh-CN"/>
        </w:rPr>
        <w:t>n NR sidelink. To help gNB or V2X</w:t>
      </w:r>
      <w:r w:rsidRPr="00395BB9">
        <w:rPr>
          <w:lang w:val="en-GB" w:eastAsia="zh-CN"/>
        </w:rPr>
        <w:t xml:space="preserve">-UE monitor the busy condition for PSFCH resources, </w:t>
      </w:r>
      <w:r w:rsidR="00EF6F9F" w:rsidRPr="00395BB9">
        <w:rPr>
          <w:rFonts w:hint="eastAsia"/>
          <w:lang w:val="en-GB" w:eastAsia="zh-CN"/>
        </w:rPr>
        <w:t xml:space="preserve">some </w:t>
      </w:r>
      <w:r w:rsidR="004F3F2A">
        <w:rPr>
          <w:lang w:val="en-GB" w:eastAsia="zh-CN"/>
        </w:rPr>
        <w:t>investigations</w:t>
      </w:r>
      <w:r w:rsidR="00395BB9" w:rsidRPr="00395BB9">
        <w:rPr>
          <w:lang w:val="en-GB" w:eastAsia="zh-CN"/>
        </w:rPr>
        <w:t xml:space="preserve"> are necessary </w:t>
      </w:r>
      <w:r w:rsidR="00395BB9" w:rsidRPr="00395BB9">
        <w:rPr>
          <w:rFonts w:hint="eastAsia"/>
          <w:lang w:val="en-GB" w:eastAsia="zh-CN"/>
        </w:rPr>
        <w:t>for</w:t>
      </w:r>
      <w:r w:rsidR="00395BB9" w:rsidRPr="00395BB9">
        <w:rPr>
          <w:lang w:val="en-GB" w:eastAsia="zh-CN"/>
        </w:rPr>
        <w:t xml:space="preserve"> whether or not </w:t>
      </w:r>
      <w:r w:rsidRPr="00395BB9">
        <w:rPr>
          <w:lang w:val="en-GB" w:eastAsia="zh-CN"/>
        </w:rPr>
        <w:t>introduc</w:t>
      </w:r>
      <w:r w:rsidR="00395BB9" w:rsidRPr="00395BB9">
        <w:rPr>
          <w:lang w:val="en-GB" w:eastAsia="zh-CN"/>
        </w:rPr>
        <w:t>ing</w:t>
      </w:r>
      <w:r w:rsidRPr="00395BB9">
        <w:rPr>
          <w:lang w:val="en-GB" w:eastAsia="zh-CN"/>
        </w:rPr>
        <w:t xml:space="preserve"> CBR measurement on PSFCH and </w:t>
      </w:r>
      <w:r w:rsidR="00395BB9" w:rsidRPr="00395BB9">
        <w:rPr>
          <w:lang w:val="en-GB" w:eastAsia="zh-CN"/>
        </w:rPr>
        <w:t>its</w:t>
      </w:r>
      <w:r w:rsidRPr="00395BB9">
        <w:rPr>
          <w:lang w:val="en-GB" w:eastAsia="zh-CN"/>
        </w:rPr>
        <w:t xml:space="preserve"> relevant reporting mechanism. </w:t>
      </w:r>
    </w:p>
    <w:p w14:paraId="677E4BEE" w14:textId="4ADFA797" w:rsidR="00AD00AE" w:rsidRPr="00AD00AE" w:rsidRDefault="00AD00AE" w:rsidP="00AD00AE">
      <w:pPr>
        <w:pStyle w:val="a5"/>
        <w:jc w:val="left"/>
        <w:rPr>
          <w:rFonts w:cs="Arial"/>
          <w:i/>
        </w:rPr>
      </w:pPr>
      <w:bookmarkStart w:id="5" w:name="OLE_LINK3"/>
      <w:bookmarkStart w:id="6" w:name="OLE_LINK4"/>
      <w:r w:rsidRPr="00395BB9">
        <w:rPr>
          <w:rFonts w:cs="Arial"/>
          <w:i/>
        </w:rPr>
        <w:lastRenderedPageBreak/>
        <w:t xml:space="preserve">Proposal 3: </w:t>
      </w:r>
      <w:r w:rsidR="004F3F2A" w:rsidRPr="00900B96">
        <w:rPr>
          <w:rFonts w:cs="Arial"/>
          <w:i/>
        </w:rPr>
        <w:t>Discuss whether introducing CBR measurement on PSFCH or not in Rel-16.</w:t>
      </w:r>
    </w:p>
    <w:bookmarkEnd w:id="5"/>
    <w:bookmarkEnd w:id="6"/>
    <w:p w14:paraId="7333E95C" w14:textId="77777777" w:rsidR="0039097D" w:rsidRPr="00AD00AE" w:rsidRDefault="00AD00AE" w:rsidP="0039097D">
      <w:pPr>
        <w:pStyle w:val="LGTdoc"/>
        <w:spacing w:before="120" w:afterLines="0" w:line="240" w:lineRule="auto"/>
        <w:rPr>
          <w:rFonts w:eastAsiaTheme="minorEastAsia"/>
          <w:b/>
          <w:bCs/>
          <w:kern w:val="0"/>
          <w:sz w:val="28"/>
          <w:szCs w:val="28"/>
          <w:lang w:val="en-US" w:eastAsia="en-US"/>
        </w:rPr>
      </w:pPr>
      <w:r w:rsidRPr="00AD00AE">
        <w:rPr>
          <w:rFonts w:eastAsiaTheme="minorEastAsia" w:hint="eastAsia"/>
          <w:b/>
          <w:bCs/>
          <w:kern w:val="0"/>
          <w:sz w:val="28"/>
          <w:szCs w:val="28"/>
          <w:lang w:val="en-US" w:eastAsia="en-US"/>
        </w:rPr>
        <w:t>3.</w:t>
      </w:r>
      <w:r w:rsidR="00303BD1">
        <w:rPr>
          <w:rFonts w:eastAsiaTheme="minorEastAsia"/>
          <w:b/>
          <w:bCs/>
          <w:kern w:val="0"/>
          <w:sz w:val="28"/>
          <w:szCs w:val="28"/>
          <w:lang w:val="en-US" w:eastAsia="en-US"/>
        </w:rPr>
        <w:t xml:space="preserve"> Congestion control procedure</w:t>
      </w:r>
    </w:p>
    <w:p w14:paraId="298C70F3" w14:textId="77777777" w:rsidR="00AD00AE" w:rsidRDefault="009C55E5" w:rsidP="0039097D">
      <w:pPr>
        <w:pStyle w:val="LGTdoc"/>
        <w:spacing w:before="120" w:afterLines="0" w:line="240" w:lineRule="auto"/>
        <w:rPr>
          <w:rFonts w:eastAsiaTheme="minorEastAsia"/>
          <w:kern w:val="0"/>
          <w:szCs w:val="22"/>
          <w:lang w:eastAsia="zh-CN"/>
        </w:rPr>
      </w:pPr>
      <w:r w:rsidRPr="009C55E5">
        <w:rPr>
          <w:rFonts w:eastAsiaTheme="minorEastAsia" w:hint="eastAsia"/>
          <w:kern w:val="0"/>
          <w:szCs w:val="22"/>
          <w:lang w:eastAsia="zh-CN"/>
        </w:rPr>
        <w:t>In LTE V2X, UE shall meet the following set of inequalities</w:t>
      </w:r>
      <w:r w:rsidR="004738A6">
        <w:rPr>
          <w:rFonts w:eastAsiaTheme="minorEastAsia"/>
          <w:kern w:val="0"/>
          <w:szCs w:val="22"/>
          <w:lang w:eastAsia="zh-CN"/>
        </w:rPr>
        <w:t xml:space="preserve"> via implementation</w:t>
      </w:r>
      <w:r>
        <w:rPr>
          <w:rFonts w:eastAsiaTheme="minorEastAsia"/>
          <w:kern w:val="0"/>
          <w:szCs w:val="22"/>
          <w:lang w:eastAsia="zh-CN"/>
        </w:rPr>
        <w:t>:</w:t>
      </w:r>
    </w:p>
    <w:p w14:paraId="0BD5DDF1" w14:textId="77777777" w:rsidR="009C55E5" w:rsidRPr="009C55E5" w:rsidRDefault="009C55E5" w:rsidP="009C55E5">
      <w:pPr>
        <w:pStyle w:val="LGTdoc"/>
        <w:spacing w:before="120" w:afterLines="0" w:line="240" w:lineRule="auto"/>
        <w:jc w:val="center"/>
        <w:rPr>
          <w:rFonts w:eastAsiaTheme="minorEastAsia"/>
          <w:kern w:val="0"/>
          <w:szCs w:val="22"/>
          <w:lang w:eastAsia="zh-CN"/>
        </w:rPr>
      </w:pPr>
      <w:r w:rsidRPr="001A7C01">
        <w:rPr>
          <w:position w:val="-28"/>
        </w:rPr>
        <w:object w:dxaOrig="2140" w:dyaOrig="540" w14:anchorId="2F118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26.25pt" o:ole="">
            <v:imagedata r:id="rId10" o:title=""/>
          </v:shape>
          <o:OLEObject Type="Embed" ProgID="Equation.DSMT4" ShapeID="_x0000_i1025" DrawAspect="Content" ObjectID="_1627466014" r:id="rId11"/>
        </w:object>
      </w:r>
      <w:r>
        <w:t>,</w:t>
      </w:r>
    </w:p>
    <w:p w14:paraId="26B01ADA" w14:textId="7DB44A6E" w:rsidR="00D93947" w:rsidRDefault="009C55E5" w:rsidP="0039097D">
      <w:pPr>
        <w:pStyle w:val="LGTdoc"/>
        <w:spacing w:before="120" w:afterLines="0" w:line="240" w:lineRule="auto"/>
        <w:rPr>
          <w:rFonts w:eastAsia="Malgun Gothic"/>
        </w:rPr>
      </w:pPr>
      <w:r>
        <w:rPr>
          <w:rFonts w:eastAsiaTheme="minorEastAsia"/>
          <w:kern w:val="0"/>
          <w:szCs w:val="22"/>
          <w:lang w:eastAsia="zh-CN"/>
        </w:rPr>
        <w:t>w</w:t>
      </w:r>
      <w:r w:rsidRPr="009C55E5">
        <w:rPr>
          <w:rFonts w:eastAsiaTheme="minorEastAsia" w:hint="eastAsia"/>
          <w:kern w:val="0"/>
          <w:szCs w:val="22"/>
          <w:lang w:eastAsia="zh-CN"/>
        </w:rPr>
        <w:t xml:space="preserve">here </w:t>
      </w:r>
      <w:r>
        <w:rPr>
          <w:rFonts w:eastAsiaTheme="minorEastAsia"/>
          <w:kern w:val="0"/>
          <w:szCs w:val="22"/>
          <w:lang w:eastAsia="zh-CN"/>
        </w:rPr>
        <w:t>CR</w:t>
      </w:r>
      <w:r w:rsidRPr="009C55E5">
        <w:rPr>
          <w:rFonts w:eastAsiaTheme="minorEastAsia"/>
          <w:i/>
          <w:kern w:val="0"/>
          <w:szCs w:val="22"/>
          <w:vertAlign w:val="subscript"/>
          <w:lang w:eastAsia="zh-CN"/>
        </w:rPr>
        <w:t>Limit</w:t>
      </w:r>
      <w:r>
        <w:rPr>
          <w:rFonts w:eastAsiaTheme="minorEastAsia"/>
          <w:kern w:val="0"/>
          <w:szCs w:val="22"/>
          <w:lang w:eastAsia="zh-CN"/>
        </w:rPr>
        <w:t xml:space="preserve">(k) </w:t>
      </w:r>
      <w:r w:rsidR="00620632" w:rsidRPr="001A7C01">
        <w:rPr>
          <w:rFonts w:eastAsia="Malgun Gothic" w:hint="eastAsia"/>
        </w:rPr>
        <w:t xml:space="preserve">corresponds to the high layer parameter </w:t>
      </w:r>
      <w:r w:rsidR="00620632" w:rsidRPr="001A7C01">
        <w:rPr>
          <w:rFonts w:eastAsia="Malgun Gothic" w:hint="eastAsia"/>
          <w:i/>
        </w:rPr>
        <w:t>cr-Limit</w:t>
      </w:r>
      <w:r w:rsidR="00620632" w:rsidRPr="001A7C01">
        <w:rPr>
          <w:rFonts w:eastAsia="Malgun Gothic" w:hint="eastAsia"/>
        </w:rPr>
        <w:t xml:space="preserve"> that is associated with the priority value </w:t>
      </w:r>
      <w:r w:rsidR="00620632" w:rsidRPr="001A7C01">
        <w:rPr>
          <w:rFonts w:eastAsia="Malgun Gothic"/>
          <w:i/>
        </w:rPr>
        <w:t>k</w:t>
      </w:r>
      <w:r w:rsidR="00620632" w:rsidRPr="001A7C01">
        <w:rPr>
          <w:rFonts w:eastAsia="Malgun Gothic" w:hint="eastAsia"/>
        </w:rPr>
        <w:t xml:space="preserve"> and the C</w:t>
      </w:r>
      <w:r w:rsidR="00620632" w:rsidRPr="001A7C01">
        <w:rPr>
          <w:rFonts w:eastAsia="Malgun Gothic"/>
        </w:rPr>
        <w:t>BR</w:t>
      </w:r>
      <w:r w:rsidR="00620632" w:rsidRPr="001A7C01">
        <w:rPr>
          <w:rFonts w:eastAsia="Malgun Gothic" w:hint="eastAsia"/>
        </w:rPr>
        <w:t xml:space="preserve"> range which includes the CBR measured in subframe </w:t>
      </w:r>
      <w:r w:rsidR="00620632" w:rsidRPr="001A7C01">
        <w:rPr>
          <w:rFonts w:eastAsia="Malgun Gothic" w:hint="eastAsia"/>
          <w:i/>
        </w:rPr>
        <w:t>n</w:t>
      </w:r>
      <w:r w:rsidR="00620632" w:rsidRPr="001A7C01">
        <w:rPr>
          <w:rFonts w:eastAsia="Malgun Gothic" w:hint="eastAsia"/>
        </w:rPr>
        <w:t>-4</w:t>
      </w:r>
      <w:r w:rsidR="005F2728">
        <w:rPr>
          <w:rFonts w:eastAsia="Malgun Gothic"/>
        </w:rPr>
        <w:t xml:space="preserve">, </w:t>
      </w:r>
      <w:r w:rsidR="00620632">
        <w:rPr>
          <w:rFonts w:eastAsia="Malgun Gothic"/>
        </w:rPr>
        <w:t xml:space="preserve">and </w:t>
      </w:r>
      <w:r w:rsidR="00620632" w:rsidRPr="001A7C01">
        <w:rPr>
          <w:position w:val="-10"/>
        </w:rPr>
        <w:object w:dxaOrig="600" w:dyaOrig="340" w14:anchorId="4F7B0795">
          <v:shape id="_x0000_i1026" type="#_x0000_t75" style="width:30.75pt;height:17.25pt" o:ole="">
            <v:imagedata r:id="rId12" o:title=""/>
          </v:shape>
          <o:OLEObject Type="Embed" ProgID="Equation.3" ShapeID="_x0000_i1026" DrawAspect="Content" ObjectID="_1627466015" r:id="rId13"/>
        </w:object>
      </w:r>
      <w:r w:rsidR="00620632" w:rsidRPr="001A7C01">
        <w:rPr>
          <w:rFonts w:eastAsia="Malgun Gothic" w:hint="eastAsia"/>
        </w:rPr>
        <w:t xml:space="preserve"> is the CR evaluated in subframe </w:t>
      </w:r>
      <w:r w:rsidR="00620632" w:rsidRPr="001A7C01">
        <w:rPr>
          <w:rFonts w:eastAsia="Malgun Gothic" w:hint="eastAsia"/>
          <w:i/>
        </w:rPr>
        <w:t>n</w:t>
      </w:r>
      <w:r w:rsidR="00620632" w:rsidRPr="001A7C01">
        <w:rPr>
          <w:rFonts w:eastAsia="Malgun Gothic" w:hint="eastAsia"/>
        </w:rPr>
        <w:t xml:space="preserve">-4 for the PSSCH transmissions with </w:t>
      </w:r>
      <w:r w:rsidR="00620632" w:rsidRPr="001A7C01">
        <w:rPr>
          <w:rFonts w:eastAsia="Malgun Gothic"/>
        </w:rPr>
        <w:t>"</w:t>
      </w:r>
      <w:r w:rsidR="00620632" w:rsidRPr="001A7C01">
        <w:rPr>
          <w:rFonts w:eastAsia="Malgun Gothic" w:hint="eastAsia"/>
        </w:rPr>
        <w:t>Priority</w:t>
      </w:r>
      <w:r w:rsidR="00620632" w:rsidRPr="001A7C01">
        <w:rPr>
          <w:rFonts w:eastAsia="Malgun Gothic"/>
        </w:rPr>
        <w:t>"</w:t>
      </w:r>
      <w:r w:rsidR="00620632" w:rsidRPr="001A7C01">
        <w:rPr>
          <w:rFonts w:eastAsia="Malgun Gothic" w:hint="eastAsia"/>
        </w:rPr>
        <w:t xml:space="preserve"> field in the SCI set to </w:t>
      </w:r>
      <w:r w:rsidR="00620632" w:rsidRPr="001A7C01">
        <w:rPr>
          <w:rFonts w:eastAsia="Malgun Gothic" w:hint="eastAsia"/>
          <w:i/>
        </w:rPr>
        <w:t>i</w:t>
      </w:r>
      <w:r w:rsidR="00620632">
        <w:rPr>
          <w:rFonts w:eastAsia="Malgun Gothic"/>
          <w:i/>
        </w:rPr>
        <w:t xml:space="preserve">. </w:t>
      </w:r>
    </w:p>
    <w:p w14:paraId="4D02EECB" w14:textId="5642F472" w:rsidR="00620632" w:rsidRPr="004738A6" w:rsidRDefault="004738A6" w:rsidP="0039097D">
      <w:pPr>
        <w:pStyle w:val="LGTdoc"/>
        <w:spacing w:before="120" w:afterLines="0" w:line="240" w:lineRule="auto"/>
        <w:rPr>
          <w:rFonts w:eastAsiaTheme="minorEastAsia"/>
          <w:kern w:val="0"/>
          <w:szCs w:val="22"/>
          <w:lang w:eastAsia="zh-CN"/>
        </w:rPr>
      </w:pPr>
      <w:r w:rsidRPr="00395BB9">
        <w:rPr>
          <w:rFonts w:eastAsiaTheme="minorEastAsia"/>
          <w:kern w:val="0"/>
          <w:szCs w:val="22"/>
          <w:lang w:eastAsia="zh-CN"/>
        </w:rPr>
        <w:t>In NR, besides PSSCH/PSCCH we also have PSFCH channel. It deserves further studies on whether define an independent congestion control mechanism for PSFCH or include the PSFCH issue in these inequalities set.</w:t>
      </w:r>
      <w:r>
        <w:rPr>
          <w:rFonts w:eastAsiaTheme="minorEastAsia"/>
          <w:kern w:val="0"/>
          <w:szCs w:val="22"/>
          <w:lang w:eastAsia="zh-CN"/>
        </w:rPr>
        <w:t xml:space="preserve"> </w:t>
      </w:r>
    </w:p>
    <w:p w14:paraId="17FFA7F8" w14:textId="77777777" w:rsidR="008F3D81" w:rsidRDefault="008F3D81" w:rsidP="008F3D81">
      <w:pPr>
        <w:pStyle w:val="1"/>
      </w:pPr>
      <w:r>
        <w:t>Conclusions</w:t>
      </w:r>
    </w:p>
    <w:p w14:paraId="45DBA079" w14:textId="77777777" w:rsidR="008F3D81" w:rsidRDefault="008F3D81" w:rsidP="008F3D81">
      <w:pPr>
        <w:pStyle w:val="LGTdoc"/>
        <w:spacing w:before="120" w:afterLines="0" w:line="240" w:lineRule="auto"/>
      </w:pPr>
      <w:r w:rsidRPr="00481AC0">
        <w:rPr>
          <w:rFonts w:eastAsiaTheme="minorEastAsia" w:hint="eastAsia"/>
          <w:kern w:val="0"/>
          <w:szCs w:val="22"/>
          <w:lang w:eastAsia="zh-CN"/>
        </w:rPr>
        <w:t xml:space="preserve">In this paper, </w:t>
      </w:r>
      <w:r w:rsidR="00374903">
        <w:rPr>
          <w:rFonts w:eastAsiaTheme="minorEastAsia"/>
          <w:kern w:val="0"/>
          <w:szCs w:val="22"/>
          <w:lang w:eastAsia="zh-CN"/>
        </w:rPr>
        <w:t>w</w:t>
      </w:r>
      <w:r w:rsidRPr="00481AC0">
        <w:rPr>
          <w:rFonts w:eastAsiaTheme="minorEastAsia"/>
          <w:kern w:val="0"/>
          <w:szCs w:val="22"/>
          <w:lang w:eastAsia="zh-CN"/>
        </w:rPr>
        <w:t>e have the following proposals:</w:t>
      </w:r>
      <w:bookmarkStart w:id="7" w:name="OLE_LINK7"/>
      <w:bookmarkStart w:id="8" w:name="OLE_LINK8"/>
      <w:r>
        <w:rPr>
          <w:rFonts w:hint="eastAsia"/>
          <w:lang w:eastAsia="zh-TW"/>
        </w:rPr>
        <w:t xml:space="preserve"> </w:t>
      </w:r>
    </w:p>
    <w:p w14:paraId="15A81175" w14:textId="77777777" w:rsidR="000340D4" w:rsidRDefault="000340D4" w:rsidP="000340D4">
      <w:pPr>
        <w:pStyle w:val="a5"/>
        <w:jc w:val="left"/>
        <w:rPr>
          <w:rFonts w:cs="Arial"/>
          <w:i/>
        </w:rPr>
      </w:pPr>
      <w:bookmarkStart w:id="9" w:name="OLE_LINK15"/>
      <w:bookmarkStart w:id="10" w:name="OLE_LINK16"/>
      <w:bookmarkStart w:id="11" w:name="OLE_LINK5"/>
      <w:bookmarkStart w:id="12" w:name="OLE_LINK9"/>
      <w:bookmarkEnd w:id="7"/>
      <w:bookmarkEnd w:id="8"/>
      <w:r w:rsidRPr="00977B15">
        <w:rPr>
          <w:rFonts w:cs="Arial"/>
          <w:i/>
        </w:rPr>
        <w:t xml:space="preserve">Proposal </w:t>
      </w:r>
      <w:r>
        <w:rPr>
          <w:rFonts w:cs="Arial"/>
          <w:i/>
        </w:rPr>
        <w:t>1</w:t>
      </w:r>
      <w:r w:rsidRPr="00977B15">
        <w:rPr>
          <w:rFonts w:cs="Arial"/>
          <w:i/>
        </w:rPr>
        <w:t>:</w:t>
      </w:r>
      <w:r>
        <w:rPr>
          <w:rFonts w:cs="Arial"/>
          <w:i/>
        </w:rPr>
        <w:t xml:space="preserve"> Multiple sizes of measurement window for CBR/CR should be supported</w:t>
      </w:r>
      <w:r w:rsidRPr="00977B15">
        <w:rPr>
          <w:rFonts w:cs="Arial"/>
          <w:i/>
        </w:rPr>
        <w:t>.</w:t>
      </w:r>
    </w:p>
    <w:p w14:paraId="6BB284A0" w14:textId="77777777" w:rsidR="00374903" w:rsidRDefault="00374903" w:rsidP="00374903">
      <w:pPr>
        <w:pStyle w:val="a5"/>
        <w:jc w:val="left"/>
        <w:rPr>
          <w:rFonts w:cs="Arial"/>
          <w:i/>
        </w:rPr>
      </w:pPr>
      <w:r w:rsidRPr="00977B15">
        <w:rPr>
          <w:rFonts w:cs="Arial"/>
          <w:i/>
        </w:rPr>
        <w:t>Proposal 2:</w:t>
      </w:r>
      <w:r>
        <w:rPr>
          <w:rFonts w:cs="Arial"/>
          <w:i/>
        </w:rPr>
        <w:t xml:space="preserve"> Both periodic and events trigger CBR report should be supported</w:t>
      </w:r>
      <w:r w:rsidRPr="00977B15">
        <w:rPr>
          <w:rFonts w:cs="Arial"/>
          <w:i/>
        </w:rPr>
        <w:t>.</w:t>
      </w:r>
    </w:p>
    <w:p w14:paraId="10B0F1EE" w14:textId="28559856" w:rsidR="00395BB9" w:rsidRPr="00AD00AE" w:rsidRDefault="00395BB9" w:rsidP="00395BB9">
      <w:pPr>
        <w:pStyle w:val="a5"/>
        <w:jc w:val="left"/>
        <w:rPr>
          <w:rFonts w:cs="Arial"/>
          <w:i/>
        </w:rPr>
      </w:pPr>
      <w:r w:rsidRPr="00395BB9">
        <w:rPr>
          <w:rFonts w:cs="Arial"/>
          <w:i/>
        </w:rPr>
        <w:t xml:space="preserve">Proposal 3: </w:t>
      </w:r>
      <w:r w:rsidR="008F1993" w:rsidRPr="00900B96">
        <w:rPr>
          <w:rFonts w:cs="Arial"/>
          <w:i/>
        </w:rPr>
        <w:t>Discuss whether introducing CBR measurement on PSFCH or not in Rel-16.</w:t>
      </w:r>
    </w:p>
    <w:bookmarkEnd w:id="9"/>
    <w:bookmarkEnd w:id="10"/>
    <w:bookmarkEnd w:id="11"/>
    <w:bookmarkEnd w:id="12"/>
    <w:p w14:paraId="5E90DB31" w14:textId="77777777" w:rsidR="008F3D81" w:rsidRPr="001401BC" w:rsidRDefault="008F3D81" w:rsidP="008F3D81">
      <w:pPr>
        <w:rPr>
          <w:b/>
          <w:lang w:val="en-GB" w:eastAsia="zh-CN"/>
        </w:rPr>
      </w:pPr>
    </w:p>
    <w:p w14:paraId="7635D9AA" w14:textId="77777777" w:rsidR="008F3D81" w:rsidRPr="00284961" w:rsidRDefault="008F3D81" w:rsidP="008F3D81">
      <w:pPr>
        <w:pStyle w:val="1"/>
      </w:pPr>
      <w:r w:rsidRPr="00284961">
        <w:t xml:space="preserve">Reference </w:t>
      </w:r>
    </w:p>
    <w:p w14:paraId="0AEC3A0F" w14:textId="7F488F22" w:rsidR="008F3D81" w:rsidRPr="004851D6" w:rsidRDefault="008F3D81" w:rsidP="008F3D81">
      <w:pPr>
        <w:rPr>
          <w:lang w:eastAsia="ja-JP"/>
        </w:rPr>
      </w:pPr>
      <w:r w:rsidRPr="00294A34">
        <w:rPr>
          <w:lang w:eastAsia="ja-JP"/>
        </w:rPr>
        <w:t>[</w:t>
      </w:r>
      <w:r w:rsidRPr="00294A34">
        <w:rPr>
          <w:rFonts w:hint="eastAsia"/>
          <w:lang w:eastAsia="ja-JP"/>
        </w:rPr>
        <w:t>1</w:t>
      </w:r>
      <w:r w:rsidRPr="00294A34">
        <w:rPr>
          <w:lang w:eastAsia="ja-JP"/>
        </w:rPr>
        <w:t>]</w:t>
      </w:r>
      <w:r w:rsidRPr="00294A34">
        <w:t xml:space="preserve"> </w:t>
      </w:r>
      <w:r w:rsidRPr="00294A34">
        <w:rPr>
          <w:rFonts w:hint="eastAsia"/>
          <w:lang w:eastAsia="ja-JP"/>
        </w:rPr>
        <w:t>Chairman</w:t>
      </w:r>
      <w:r w:rsidRPr="00294A34">
        <w:rPr>
          <w:lang w:eastAsia="ja-JP"/>
        </w:rPr>
        <w:t>’</w:t>
      </w:r>
      <w:r w:rsidRPr="00294A34">
        <w:rPr>
          <w:rFonts w:hint="eastAsia"/>
          <w:lang w:eastAsia="ja-JP"/>
        </w:rPr>
        <w:t>s note</w:t>
      </w:r>
      <w:r w:rsidRPr="00294A34">
        <w:rPr>
          <w:lang w:eastAsia="ja-JP"/>
        </w:rPr>
        <w:t>,</w:t>
      </w:r>
      <w:r>
        <w:rPr>
          <w:rFonts w:hint="eastAsia"/>
          <w:lang w:eastAsia="ja-JP"/>
        </w:rPr>
        <w:t xml:space="preserve"> RAN1</w:t>
      </w:r>
      <w:r w:rsidR="00097DB2">
        <w:rPr>
          <w:lang w:eastAsia="ja-JP"/>
        </w:rPr>
        <w:t>#9</w:t>
      </w:r>
      <w:r w:rsidR="00687344">
        <w:rPr>
          <w:lang w:eastAsia="ja-JP"/>
        </w:rPr>
        <w:t>7</w:t>
      </w:r>
      <w:r>
        <w:rPr>
          <w:rFonts w:hint="eastAsia"/>
          <w:lang w:eastAsia="ja-JP"/>
        </w:rPr>
        <w:t xml:space="preserve">, </w:t>
      </w:r>
      <w:r w:rsidR="00687344">
        <w:rPr>
          <w:lang w:eastAsia="ja-JP"/>
        </w:rPr>
        <w:t>May</w:t>
      </w:r>
      <w:r>
        <w:rPr>
          <w:rFonts w:hint="eastAsia"/>
          <w:lang w:eastAsia="ja-JP"/>
        </w:rPr>
        <w:t xml:space="preserve"> 201</w:t>
      </w:r>
      <w:r>
        <w:rPr>
          <w:lang w:eastAsia="ja-JP"/>
        </w:rPr>
        <w:t>9</w:t>
      </w:r>
    </w:p>
    <w:p w14:paraId="237C091F" w14:textId="77777777" w:rsidR="008F3D81" w:rsidRPr="00482DA1" w:rsidRDefault="008F3D81" w:rsidP="008F3D81">
      <w:pPr>
        <w:rPr>
          <w:rFonts w:eastAsia="MS Mincho" w:cs="Arial"/>
          <w:bCs/>
          <w:szCs w:val="24"/>
        </w:rPr>
      </w:pPr>
    </w:p>
    <w:p w14:paraId="6876C286" w14:textId="77777777" w:rsidR="008F6CCD" w:rsidRPr="008F6CCD" w:rsidRDefault="008F6CCD" w:rsidP="008F6CCD">
      <w:pPr>
        <w:rPr>
          <w:rFonts w:ascii="Arial" w:eastAsia="MS Mincho" w:hAnsi="Arial" w:cs="Arial"/>
          <w:b/>
          <w:bCs/>
          <w:sz w:val="16"/>
          <w:lang w:eastAsia="ja-JP"/>
        </w:rPr>
      </w:pPr>
    </w:p>
    <w:sectPr w:rsidR="008F6CCD" w:rsidRPr="008F6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0BC3A" w14:textId="77777777" w:rsidR="00E912D4" w:rsidRDefault="00E912D4" w:rsidP="008F3D81">
      <w:pPr>
        <w:spacing w:after="0"/>
      </w:pPr>
      <w:r>
        <w:separator/>
      </w:r>
    </w:p>
  </w:endnote>
  <w:endnote w:type="continuationSeparator" w:id="0">
    <w:p w14:paraId="7CAE9105" w14:textId="77777777" w:rsidR="00E912D4" w:rsidRDefault="00E912D4" w:rsidP="008F3D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1413A" w14:textId="77777777" w:rsidR="00E912D4" w:rsidRDefault="00E912D4" w:rsidP="008F3D81">
      <w:pPr>
        <w:spacing w:after="0"/>
      </w:pPr>
      <w:r>
        <w:separator/>
      </w:r>
    </w:p>
  </w:footnote>
  <w:footnote w:type="continuationSeparator" w:id="0">
    <w:p w14:paraId="100541C3" w14:textId="77777777" w:rsidR="00E912D4" w:rsidRDefault="00E912D4" w:rsidP="008F3D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31780E28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BBB2A9D"/>
    <w:multiLevelType w:val="hybridMultilevel"/>
    <w:tmpl w:val="F78AEF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62671"/>
    <w:multiLevelType w:val="hybridMultilevel"/>
    <w:tmpl w:val="23967338"/>
    <w:lvl w:ilvl="0" w:tplc="0409000D">
      <w:start w:val="1"/>
      <w:numFmt w:val="bullet"/>
      <w:lvlText w:val=""/>
      <w:lvlJc w:val="left"/>
      <w:pPr>
        <w:ind w:left="10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4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EE6CFF"/>
    <w:multiLevelType w:val="hybridMultilevel"/>
    <w:tmpl w:val="CD885906"/>
    <w:lvl w:ilvl="0" w:tplc="769A7D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7D2A22"/>
    <w:multiLevelType w:val="hybridMultilevel"/>
    <w:tmpl w:val="1CE62B56"/>
    <w:lvl w:ilvl="0" w:tplc="0409000D">
      <w:start w:val="1"/>
      <w:numFmt w:val="bullet"/>
      <w:lvlText w:val="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52B"/>
    <w:rsid w:val="00014529"/>
    <w:rsid w:val="000340D4"/>
    <w:rsid w:val="00064546"/>
    <w:rsid w:val="00097DB2"/>
    <w:rsid w:val="00142645"/>
    <w:rsid w:val="001D0EA2"/>
    <w:rsid w:val="00224450"/>
    <w:rsid w:val="00261410"/>
    <w:rsid w:val="002A43E4"/>
    <w:rsid w:val="00303BD1"/>
    <w:rsid w:val="00305707"/>
    <w:rsid w:val="00374903"/>
    <w:rsid w:val="00384C64"/>
    <w:rsid w:val="0039097D"/>
    <w:rsid w:val="00395BB9"/>
    <w:rsid w:val="003D03D0"/>
    <w:rsid w:val="004111F2"/>
    <w:rsid w:val="004142DB"/>
    <w:rsid w:val="004738A6"/>
    <w:rsid w:val="00494C82"/>
    <w:rsid w:val="004E0715"/>
    <w:rsid w:val="004F3F2A"/>
    <w:rsid w:val="004F67AF"/>
    <w:rsid w:val="00543CD0"/>
    <w:rsid w:val="00562D73"/>
    <w:rsid w:val="005719B7"/>
    <w:rsid w:val="00590135"/>
    <w:rsid w:val="005F2728"/>
    <w:rsid w:val="00620632"/>
    <w:rsid w:val="00632B70"/>
    <w:rsid w:val="0064695D"/>
    <w:rsid w:val="00687344"/>
    <w:rsid w:val="006D0FE3"/>
    <w:rsid w:val="006D4FC8"/>
    <w:rsid w:val="00743186"/>
    <w:rsid w:val="00776B92"/>
    <w:rsid w:val="007D1B34"/>
    <w:rsid w:val="007D309E"/>
    <w:rsid w:val="007E5AB8"/>
    <w:rsid w:val="007F7571"/>
    <w:rsid w:val="00823F16"/>
    <w:rsid w:val="00854AB3"/>
    <w:rsid w:val="008A25F5"/>
    <w:rsid w:val="008A4D89"/>
    <w:rsid w:val="008F1993"/>
    <w:rsid w:val="008F3D81"/>
    <w:rsid w:val="008F6CCD"/>
    <w:rsid w:val="00900B96"/>
    <w:rsid w:val="00944982"/>
    <w:rsid w:val="00954E65"/>
    <w:rsid w:val="009662B8"/>
    <w:rsid w:val="009954CE"/>
    <w:rsid w:val="009C55E5"/>
    <w:rsid w:val="00A32767"/>
    <w:rsid w:val="00A47F14"/>
    <w:rsid w:val="00A56FED"/>
    <w:rsid w:val="00A6052B"/>
    <w:rsid w:val="00A8549F"/>
    <w:rsid w:val="00AD00AE"/>
    <w:rsid w:val="00AE2961"/>
    <w:rsid w:val="00AE31B5"/>
    <w:rsid w:val="00B76FB3"/>
    <w:rsid w:val="00BB6A1F"/>
    <w:rsid w:val="00C97CAA"/>
    <w:rsid w:val="00CB7939"/>
    <w:rsid w:val="00D56484"/>
    <w:rsid w:val="00D93947"/>
    <w:rsid w:val="00DC4B0A"/>
    <w:rsid w:val="00E90645"/>
    <w:rsid w:val="00E912D4"/>
    <w:rsid w:val="00EB6D82"/>
    <w:rsid w:val="00EF6F9F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E5F27"/>
  <w15:chartTrackingRefBased/>
  <w15:docId w15:val="{CE029B80-0D72-4448-8831-D2E8EBAA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D8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F3D8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F3D8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Char"/>
    <w:qFormat/>
    <w:rsid w:val="008F3D8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3D8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3D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3D81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3D81"/>
    <w:rPr>
      <w:sz w:val="18"/>
      <w:szCs w:val="18"/>
    </w:rPr>
  </w:style>
  <w:style w:type="character" w:customStyle="1" w:styleId="1Char">
    <w:name w:val="标题 1 Char"/>
    <w:basedOn w:val="a0"/>
    <w:link w:val="1"/>
    <w:rsid w:val="008F3D81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F3D81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Char">
    <w:name w:val="标题 4 Char"/>
    <w:basedOn w:val="a0"/>
    <w:link w:val="4"/>
    <w:rsid w:val="008F3D81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styleId="a5">
    <w:name w:val="caption"/>
    <w:basedOn w:val="a"/>
    <w:next w:val="a"/>
    <w:qFormat/>
    <w:rsid w:val="008F3D81"/>
    <w:pPr>
      <w:overflowPunct w:val="0"/>
      <w:snapToGrid/>
      <w:spacing w:after="240"/>
      <w:jc w:val="center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LGTdoc">
    <w:name w:val="LGTdoc_본문"/>
    <w:basedOn w:val="a"/>
    <w:rsid w:val="008F3D81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6">
    <w:name w:val="List Paragraph"/>
    <w:aliases w:val="- Bullets,?? ??,?????,????,Lista1,中等深浅网格 1 - 着色 21,列表段落"/>
    <w:basedOn w:val="a"/>
    <w:link w:val="Char1"/>
    <w:uiPriority w:val="34"/>
    <w:qFormat/>
    <w:rsid w:val="008F3D81"/>
    <w:pPr>
      <w:ind w:firstLineChars="200" w:firstLine="420"/>
    </w:pPr>
  </w:style>
  <w:style w:type="table" w:styleId="a7">
    <w:name w:val="Table Grid"/>
    <w:basedOn w:val="a1"/>
    <w:uiPriority w:val="39"/>
    <w:rsid w:val="008F3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列出段落 Char"/>
    <w:aliases w:val="- Bullets Char,?? ?? Char,????? Char,???? Char,Lista1 Char,中等深浅网格 1 - 着色 21 Char,列表段落 Char"/>
    <w:link w:val="a6"/>
    <w:uiPriority w:val="34"/>
    <w:locked/>
    <w:rsid w:val="008F3D81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EQ">
    <w:name w:val="EQ"/>
    <w:basedOn w:val="a"/>
    <w:next w:val="a"/>
    <w:rsid w:val="00D93947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5F2728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5F2728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5F2728"/>
    <w:rPr>
      <w:rFonts w:ascii="Times New Roman" w:hAnsi="Times New Roman" w:cs="Times New Roman"/>
      <w:kern w:val="0"/>
      <w:sz w:val="22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5F2728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5F2728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ab">
    <w:name w:val="Revision"/>
    <w:hidden/>
    <w:uiPriority w:val="99"/>
    <w:semiHidden/>
    <w:rsid w:val="005F2728"/>
    <w:rPr>
      <w:rFonts w:ascii="Times New Roman" w:hAnsi="Times New Roman" w:cs="Times New Roman"/>
      <w:kern w:val="0"/>
      <w:sz w:val="22"/>
      <w:lang w:eastAsia="en-US"/>
    </w:rPr>
  </w:style>
  <w:style w:type="paragraph" w:styleId="ac">
    <w:name w:val="Balloon Text"/>
    <w:basedOn w:val="a"/>
    <w:link w:val="Char4"/>
    <w:uiPriority w:val="99"/>
    <w:semiHidden/>
    <w:unhideWhenUsed/>
    <w:rsid w:val="005F2728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5F2728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d">
    <w:name w:val="Hyperlink"/>
    <w:uiPriority w:val="99"/>
    <w:qFormat/>
    <w:rsid w:val="00A854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file:///C:\Users\merias\Documents\RAN1\TSGR1_97-USA\Docs\R1-1906365.zip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javascript:void(0)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538</Words>
  <Characters>3067</Characters>
  <Application>Microsoft Office Word</Application>
  <DocSecurity>0</DocSecurity>
  <Lines>25</Lines>
  <Paragraphs>7</Paragraphs>
  <ScaleCrop>false</ScaleCrop>
  <Company>sprd</Company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Pierre (张萌)</dc:creator>
  <cp:keywords/>
  <dc:description/>
  <cp:lastModifiedBy>Zhang, Pierre (张萌)</cp:lastModifiedBy>
  <cp:revision>13</cp:revision>
  <dcterms:created xsi:type="dcterms:W3CDTF">2019-04-29T10:09:00Z</dcterms:created>
  <dcterms:modified xsi:type="dcterms:W3CDTF">2019-08-16T05:07:00Z</dcterms:modified>
</cp:coreProperties>
</file>